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80" w:rsidRPr="009446B8" w:rsidRDefault="00706700" w:rsidP="00706700">
      <w:pPr>
        <w:spacing w:before="0" w:beforeAutospacing="0" w:after="0"/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70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46653" cy="8734425"/>
            <wp:effectExtent l="0" t="0" r="0" b="0"/>
            <wp:docPr id="1" name="Рисунок 1" descr="C:\Users\Admin\Desktop\титул\уша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ушако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25" cy="87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proofErr w:type="spellStart"/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Ушаковский</w:t>
      </w:r>
      <w:proofErr w:type="spellEnd"/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сад, филиал МАОУ Шишкинская СОШ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расположено в жилом районе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села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вдали от производящих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предприятий и торговых мест. Здание Детского сада построено по типовому проекту.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Проектная наполняемость на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мест. Общая площадь здания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160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кв.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епосредственно для нужд образовательного процесса,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70 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 – осуществление образовательной деятельности по</w:t>
      </w:r>
      <w:r w:rsidRPr="009446B8">
        <w:rPr>
          <w:lang w:val="ru-RU"/>
        </w:rPr>
        <w:br/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="00507F5B">
        <w:rPr>
          <w:lang w:val="ru-RU"/>
        </w:rPr>
        <w:t xml:space="preserve">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 – с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08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законом от 29.12.2012 № 273-</w:t>
      </w:r>
      <w:proofErr w:type="gram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ФЗ«</w:t>
      </w:r>
      <w:proofErr w:type="gram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507F5B" w:rsidRPr="00507F5B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 2 до 7 лет. </w:t>
      </w:r>
      <w:r w:rsidRPr="00706700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</w:t>
      </w:r>
      <w:r w:rsidR="00507F5B" w:rsidRPr="00706700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07F5B" w:rsidRPr="00706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06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разновозрастная </w:t>
      </w:r>
      <w:r w:rsidRPr="0070670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06700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82680" w:rsidRDefault="00507F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ИКП- 1 ребенок</w:t>
      </w:r>
    </w:p>
    <w:p w:rsidR="00507F5B" w:rsidRDefault="00507F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КМП – </w:t>
      </w:r>
      <w:r w:rsidR="00C86371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</w:p>
    <w:p w:rsidR="00507F5B" w:rsidRPr="009446B8" w:rsidRDefault="00507F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Полного дня -15 детей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 (облачные сервисы Яндекс,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6"/>
        <w:gridCol w:w="1863"/>
        <w:gridCol w:w="4868"/>
      </w:tblGrid>
      <w:tr w:rsidR="00D82680" w:rsidRPr="00022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81B66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8378F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81B66" w:rsidRDefault="00F81B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8378F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D82680" w:rsidRPr="00022E48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D8268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F070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6,6%</w:t>
            </w:r>
          </w:p>
        </w:tc>
      </w:tr>
      <w:tr w:rsidR="00D8268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070BA" w:rsidRDefault="00F070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F070B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20%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68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070BA" w:rsidRDefault="00F070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F070B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Органы управления, действующие в Детском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9"/>
        <w:gridCol w:w="6318"/>
      </w:tblGrid>
      <w:tr w:rsidR="00D8268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D82680" w:rsidRPr="00022E4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070BA" w:rsidRDefault="00F070B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Дирктор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D8268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D82680" w:rsidRDefault="009446B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D82680" w:rsidRDefault="009446B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D82680" w:rsidRDefault="009446B8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D8268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D82680" w:rsidRPr="009446B8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680" w:rsidRPr="009446B8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D82680" w:rsidRPr="009446B8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D82680" w:rsidRPr="00022E4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вносить предложения по корректировке плана мероприятий организации, совершенствованию ее 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и развитию материальной базы</w:t>
            </w:r>
          </w:p>
        </w:tc>
      </w:tr>
    </w:tbl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Структураи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система управления соответствуют специфике деятельности Детского сада. В 2020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заместителя заведующего и старшего воспитателя по контролю за качеством образования и добавили контроль организации дистанционного обучения.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82680" w:rsidRPr="009446B8" w:rsidRDefault="009446B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D82680" w:rsidRDefault="009446B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2680" w:rsidRDefault="009446B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2020 года выглядят следующим образом:</w:t>
      </w:r>
    </w:p>
    <w:p w:rsidR="00F070BA" w:rsidRPr="00706700" w:rsidRDefault="00F070BA" w:rsidP="00F070BA">
      <w:pPr>
        <w:spacing w:line="240" w:lineRule="atLeast"/>
        <w:rPr>
          <w:b/>
          <w:sz w:val="24"/>
          <w:szCs w:val="24"/>
          <w:lang w:val="ru-RU"/>
        </w:rPr>
      </w:pPr>
    </w:p>
    <w:tbl>
      <w:tblPr>
        <w:tblW w:w="10207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6"/>
        <w:gridCol w:w="2004"/>
        <w:gridCol w:w="708"/>
        <w:gridCol w:w="21"/>
        <w:gridCol w:w="68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F070BA" w:rsidRPr="009A2747" w:rsidTr="00A351C3">
        <w:tc>
          <w:tcPr>
            <w:tcW w:w="5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ind w:firstLine="25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Основная часть</w:t>
            </w:r>
          </w:p>
        </w:tc>
      </w:tr>
      <w:tr w:rsidR="00F070BA" w:rsidRPr="00022E48" w:rsidTr="00A351C3">
        <w:trPr>
          <w:trHeight w:val="345"/>
        </w:trPr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F070BA" w:rsidRPr="00022E48" w:rsidTr="00A351C3"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706700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706700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Физическое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Познавательное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 Речевое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Итоговый показатель по каждому ребенку (среднее значение)</w:t>
            </w:r>
          </w:p>
        </w:tc>
      </w:tr>
      <w:tr w:rsidR="00F070BA" w:rsidRPr="009A2747" w:rsidTr="00A351C3"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706700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706700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</w:tr>
      <w:tr w:rsidR="00F070BA" w:rsidRPr="009A2747" w:rsidTr="00A351C3"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ind w:left="-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070BA" w:rsidRPr="009A2747" w:rsidTr="00A351C3">
        <w:trPr>
          <w:gridAfter w:val="13"/>
          <w:wAfter w:w="966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70BA" w:rsidRPr="009A2747" w:rsidRDefault="00F070BA" w:rsidP="00A351C3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0BA" w:rsidRPr="009A2747" w:rsidTr="00A351C3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70BA" w:rsidRPr="009A2747" w:rsidRDefault="00F070BA" w:rsidP="00A351C3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70BA" w:rsidRPr="009A2747" w:rsidRDefault="00F070BA" w:rsidP="00A351C3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E9104D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5C3698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71%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AD59B4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AD59B4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AD59B4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5C3698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69%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AD59B4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AD59B4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AD59B4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58,75%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AD59B4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67%</w:t>
            </w:r>
          </w:p>
        </w:tc>
      </w:tr>
    </w:tbl>
    <w:p w:rsidR="00F070BA" w:rsidRPr="009446B8" w:rsidRDefault="00F070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период самоизоляции, введенной в качестве ограничительного мероприятия в Энской области, занятия с детьми воспитатели вели дистанционно через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Опрос </w:t>
      </w:r>
      <w:r w:rsidR="00F070BA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воспитателей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D82680" w:rsidRPr="009446B8" w:rsidRDefault="009446B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D82680" w:rsidRPr="009446B8" w:rsidRDefault="009446B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 составляет: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3 до 4 лет – до 15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4 до 5 лет – до 20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5 до 6 лет – до 25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6 до 7 лет – до 30 мин.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не допустить распространения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бактерицидные установки в групповых комнатах;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D82680" w:rsidRPr="009446B8" w:rsidRDefault="009446B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Соотношение воспитанников, приходящихся на 1 взрослого:</w:t>
      </w:r>
    </w:p>
    <w:p w:rsidR="00D82680" w:rsidRDefault="009446B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8/1;</w:t>
      </w:r>
    </w:p>
    <w:p w:rsidR="00D82680" w:rsidRDefault="009446B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3B64ED">
        <w:rPr>
          <w:rFonts w:hAnsi="Times New Roman" w:cs="Times New Roman"/>
          <w:color w:val="000000"/>
          <w:sz w:val="24"/>
          <w:szCs w:val="24"/>
        </w:rPr>
        <w:t xml:space="preserve"> 4,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прошел 1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сада. На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30.12.2020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 в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ВУЗе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По итогам 2020 года Детский сад перешел на применение профессиональных стандартов. Из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Детского сада все соответствуют квалификационным требованиям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D82680" w:rsidRPr="00AA0892" w:rsidRDefault="009446B8" w:rsidP="00AA089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A0892">
        <w:rPr>
          <w:rFonts w:hAnsi="Times New Roman" w:cs="Times New Roman"/>
          <w:b/>
          <w:color w:val="000000"/>
          <w:sz w:val="24"/>
          <w:szCs w:val="24"/>
          <w:lang w:val="ru-RU"/>
        </w:rPr>
        <w:t>Диаграмма с характеристиками кадрового состава Детского сада</w:t>
      </w:r>
    </w:p>
    <w:p w:rsidR="003B64ED" w:rsidRDefault="003B64E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3878036" cy="2460171"/>
            <wp:effectExtent l="19050" t="0" r="2721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0892" w:rsidRPr="009446B8" w:rsidRDefault="00AA0892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82680" w:rsidRDefault="00AA08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2019-2020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учебнном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коллектив Детского сада, продолжает изучать и внедрять ФГОС ДО в воспитательно-образовательный процесс в целях обновления системы дошкольного образования и достижения оптимального развития ребенка-дошкольника. В деятельность с детьми внедряются новые формы работы по всем образовательным и воспитательным направлениям.</w:t>
      </w:r>
    </w:p>
    <w:p w:rsidR="00A351C3" w:rsidRDefault="00A351C3" w:rsidP="00A351C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351C3">
        <w:rPr>
          <w:rFonts w:hAnsi="Times New Roman" w:cs="Times New Roman"/>
          <w:b/>
          <w:color w:val="000000"/>
          <w:sz w:val="24"/>
          <w:szCs w:val="24"/>
          <w:lang w:val="ru-RU"/>
        </w:rPr>
        <w:t>В рамках проводимых мероприятий педагоги на протяжении 2019- 2020 учебного года делились своим опытом с коллегами других детских садов.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803"/>
        <w:gridCol w:w="2100"/>
        <w:gridCol w:w="1830"/>
        <w:gridCol w:w="1770"/>
      </w:tblGrid>
      <w:tr w:rsidR="00A351C3" w:rsidTr="003C25B1">
        <w:tc>
          <w:tcPr>
            <w:tcW w:w="1740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503" w:type="dxa"/>
            <w:gridSpan w:val="4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Название мероприятия</w:t>
            </w:r>
          </w:p>
        </w:tc>
      </w:tr>
      <w:tr w:rsidR="00A351C3" w:rsidTr="003C25B1">
        <w:tc>
          <w:tcPr>
            <w:tcW w:w="1740" w:type="dxa"/>
            <w:vMerge w:val="restart"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351C3" w:rsidRPr="00803722" w:rsidRDefault="00803722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Январь 2020 по декабрь 2020</w:t>
            </w:r>
          </w:p>
        </w:tc>
        <w:tc>
          <w:tcPr>
            <w:tcW w:w="1803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Формы работы</w:t>
            </w:r>
          </w:p>
        </w:tc>
        <w:tc>
          <w:tcPr>
            <w:tcW w:w="2100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30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1770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</w:tr>
      <w:tr w:rsidR="00A351C3" w:rsidTr="003C25B1">
        <w:tc>
          <w:tcPr>
            <w:tcW w:w="1740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03" w:type="dxa"/>
            <w:gridSpan w:val="4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методических групп</w:t>
            </w:r>
          </w:p>
        </w:tc>
      </w:tr>
      <w:tr w:rsidR="00A351C3" w:rsidTr="003C25B1">
        <w:tc>
          <w:tcPr>
            <w:tcW w:w="1740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2100" w:type="dxa"/>
          </w:tcPr>
          <w:p w:rsidR="00A351C3" w:rsidRPr="003C25B1" w:rsidRDefault="00803722" w:rsidP="008037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«Формы работы с родителями», «Адаптация детей </w:t>
            </w:r>
            <w:r w:rsidRPr="0070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младшего возраста»</w:t>
            </w:r>
          </w:p>
        </w:tc>
        <w:tc>
          <w:tcPr>
            <w:tcW w:w="1830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Масленникова А.Л.</w:t>
            </w:r>
          </w:p>
        </w:tc>
        <w:tc>
          <w:tcPr>
            <w:tcW w:w="1770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A351C3" w:rsidTr="003C25B1">
        <w:tc>
          <w:tcPr>
            <w:tcW w:w="1740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2100" w:type="dxa"/>
          </w:tcPr>
          <w:p w:rsidR="00A351C3" w:rsidRPr="003C25B1" w:rsidRDefault="00803722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color w:val="000000"/>
                <w:sz w:val="24"/>
                <w:szCs w:val="24"/>
                <w:lang w:val="ru-RU"/>
              </w:rPr>
              <w:t>«Знакомство с предметным миром младших дошкольников»</w:t>
            </w:r>
          </w:p>
        </w:tc>
        <w:tc>
          <w:tcPr>
            <w:tcW w:w="1830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Денисовец Н.В.</w:t>
            </w:r>
          </w:p>
        </w:tc>
        <w:tc>
          <w:tcPr>
            <w:tcW w:w="1770" w:type="dxa"/>
          </w:tcPr>
          <w:p w:rsidR="00A351C3" w:rsidRPr="003C25B1" w:rsidRDefault="00A351C3" w:rsidP="00A351C3">
            <w:pPr>
              <w:jc w:val="center"/>
              <w:rPr>
                <w:sz w:val="24"/>
                <w:szCs w:val="24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A351C3" w:rsidTr="003C25B1">
        <w:tc>
          <w:tcPr>
            <w:tcW w:w="1740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 класс</w:t>
            </w:r>
          </w:p>
        </w:tc>
        <w:tc>
          <w:tcPr>
            <w:tcW w:w="2100" w:type="dxa"/>
          </w:tcPr>
          <w:p w:rsidR="00A351C3" w:rsidRPr="003C25B1" w:rsidRDefault="00803722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3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</w:t>
            </w:r>
            <w:proofErr w:type="spellEnd"/>
            <w:r w:rsidRPr="003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 w:rsidRPr="003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рисования</w:t>
            </w:r>
            <w:proofErr w:type="spellEnd"/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30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Пузырева О.А.</w:t>
            </w:r>
          </w:p>
        </w:tc>
        <w:tc>
          <w:tcPr>
            <w:tcW w:w="1770" w:type="dxa"/>
          </w:tcPr>
          <w:p w:rsidR="00A351C3" w:rsidRPr="003C25B1" w:rsidRDefault="00A351C3" w:rsidP="00A351C3">
            <w:pPr>
              <w:jc w:val="center"/>
              <w:rPr>
                <w:sz w:val="24"/>
                <w:szCs w:val="24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A351C3" w:rsidTr="003C25B1">
        <w:tc>
          <w:tcPr>
            <w:tcW w:w="1740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A351C3" w:rsidRPr="003C25B1" w:rsidRDefault="00803722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2100" w:type="dxa"/>
          </w:tcPr>
          <w:p w:rsidR="00A351C3" w:rsidRPr="003C25B1" w:rsidRDefault="00803722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7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Методический марафон по теме самообразования «Ложка, как универсальный предмет для развития речи»</w:t>
            </w:r>
          </w:p>
        </w:tc>
        <w:tc>
          <w:tcPr>
            <w:tcW w:w="1830" w:type="dxa"/>
          </w:tcPr>
          <w:p w:rsidR="00A351C3" w:rsidRPr="003C25B1" w:rsidRDefault="00803722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А.Л.</w:t>
            </w:r>
          </w:p>
        </w:tc>
        <w:tc>
          <w:tcPr>
            <w:tcW w:w="1770" w:type="dxa"/>
          </w:tcPr>
          <w:p w:rsidR="00A351C3" w:rsidRPr="003C25B1" w:rsidRDefault="00A351C3" w:rsidP="00A351C3">
            <w:pPr>
              <w:jc w:val="center"/>
              <w:rPr>
                <w:sz w:val="24"/>
                <w:szCs w:val="24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A351C3" w:rsidTr="003C25B1">
        <w:tc>
          <w:tcPr>
            <w:tcW w:w="1740" w:type="dxa"/>
            <w:vMerge/>
          </w:tcPr>
          <w:p w:rsidR="00A351C3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A351C3" w:rsidRPr="003C25B1" w:rsidRDefault="00803722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2100" w:type="dxa"/>
          </w:tcPr>
          <w:p w:rsidR="00803722" w:rsidRPr="00706700" w:rsidRDefault="00803722" w:rsidP="00803722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06700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«Занимательные игры и пособия</w:t>
            </w:r>
            <w:r w:rsidRPr="003C25B1">
              <w:rPr>
                <w:color w:val="000000"/>
                <w:lang w:val="ru-RU"/>
              </w:rPr>
              <w:t xml:space="preserve"> </w:t>
            </w:r>
            <w:r w:rsidRPr="00706700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для успешного развития детей дошкольного возраста»</w:t>
            </w:r>
          </w:p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</w:tcPr>
          <w:p w:rsidR="00A351C3" w:rsidRPr="003C25B1" w:rsidRDefault="00803722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А.Л.</w:t>
            </w:r>
          </w:p>
        </w:tc>
        <w:tc>
          <w:tcPr>
            <w:tcW w:w="1770" w:type="dxa"/>
          </w:tcPr>
          <w:p w:rsidR="00A351C3" w:rsidRPr="003C25B1" w:rsidRDefault="00A351C3" w:rsidP="00A351C3">
            <w:pPr>
              <w:jc w:val="center"/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3C25B1" w:rsidRPr="00022E48" w:rsidTr="003C25B1">
        <w:tc>
          <w:tcPr>
            <w:tcW w:w="1740" w:type="dxa"/>
            <w:vMerge w:val="restart"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03" w:type="dxa"/>
            <w:gridSpan w:val="4"/>
          </w:tcPr>
          <w:p w:rsidR="003C25B1" w:rsidRPr="00060D0A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Открытые просмотры НОД среди педагогов </w:t>
            </w:r>
            <w:proofErr w:type="gram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  МАОУ</w:t>
            </w:r>
            <w:proofErr w:type="gram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Шишкинская СОШ</w:t>
            </w:r>
          </w:p>
        </w:tc>
      </w:tr>
      <w:tr w:rsidR="003C25B1" w:rsidTr="003C25B1">
        <w:tc>
          <w:tcPr>
            <w:tcW w:w="1740" w:type="dxa"/>
            <w:vMerge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3C25B1" w:rsidRPr="003C25B1" w:rsidRDefault="003C25B1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2100" w:type="dxa"/>
          </w:tcPr>
          <w:p w:rsidR="003C25B1" w:rsidRPr="003C25B1" w:rsidRDefault="003C25B1" w:rsidP="0080372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«В гостях у зимушки</w:t>
            </w:r>
          </w:p>
        </w:tc>
        <w:tc>
          <w:tcPr>
            <w:tcW w:w="1830" w:type="dxa"/>
          </w:tcPr>
          <w:p w:rsidR="003C25B1" w:rsidRPr="003C25B1" w:rsidRDefault="003C25B1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А.Л.</w:t>
            </w:r>
          </w:p>
        </w:tc>
        <w:tc>
          <w:tcPr>
            <w:tcW w:w="1770" w:type="dxa"/>
          </w:tcPr>
          <w:p w:rsidR="003C25B1" w:rsidRDefault="003C25B1">
            <w:r w:rsidRPr="00173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3C25B1" w:rsidTr="003C25B1">
        <w:tc>
          <w:tcPr>
            <w:tcW w:w="1740" w:type="dxa"/>
            <w:vMerge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3C25B1" w:rsidRPr="003C25B1" w:rsidRDefault="003C25B1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</w:t>
            </w:r>
          </w:p>
        </w:tc>
        <w:tc>
          <w:tcPr>
            <w:tcW w:w="2100" w:type="dxa"/>
          </w:tcPr>
          <w:p w:rsidR="003C25B1" w:rsidRPr="003C25B1" w:rsidRDefault="003C25B1" w:rsidP="0080372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«Осень»</w:t>
            </w:r>
          </w:p>
        </w:tc>
        <w:tc>
          <w:tcPr>
            <w:tcW w:w="1830" w:type="dxa"/>
          </w:tcPr>
          <w:p w:rsidR="003C25B1" w:rsidRPr="003C25B1" w:rsidRDefault="003C25B1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Денисовец Н.В</w:t>
            </w:r>
          </w:p>
        </w:tc>
        <w:tc>
          <w:tcPr>
            <w:tcW w:w="1770" w:type="dxa"/>
          </w:tcPr>
          <w:p w:rsidR="003C25B1" w:rsidRDefault="003C25B1">
            <w:r w:rsidRPr="00173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3C25B1" w:rsidTr="003C25B1">
        <w:tc>
          <w:tcPr>
            <w:tcW w:w="1740" w:type="dxa"/>
            <w:vMerge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3C25B1" w:rsidRPr="003C25B1" w:rsidRDefault="003C25B1" w:rsidP="003C25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100" w:type="dxa"/>
          </w:tcPr>
          <w:p w:rsidR="003C25B1" w:rsidRPr="003C25B1" w:rsidRDefault="003C25B1" w:rsidP="0080372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«Путешествие в страну математики»</w:t>
            </w:r>
          </w:p>
        </w:tc>
        <w:tc>
          <w:tcPr>
            <w:tcW w:w="1830" w:type="dxa"/>
          </w:tcPr>
          <w:p w:rsidR="003C25B1" w:rsidRPr="003C25B1" w:rsidRDefault="003C25B1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Пузырева О.А</w:t>
            </w:r>
          </w:p>
        </w:tc>
        <w:tc>
          <w:tcPr>
            <w:tcW w:w="1770" w:type="dxa"/>
          </w:tcPr>
          <w:p w:rsidR="003C25B1" w:rsidRDefault="003C25B1">
            <w:r w:rsidRPr="00173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</w:tbl>
    <w:p w:rsidR="003C25B1" w:rsidRPr="009446B8" w:rsidRDefault="003C25B1" w:rsidP="003C2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педагоги использовали в работе дистанционные образовательные технологии.</w:t>
      </w:r>
    </w:p>
    <w:p w:rsidR="00A351C3" w:rsidRPr="00AA0892" w:rsidRDefault="003C2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. 98%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компетентностные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D82680" w:rsidRPr="00706700" w:rsidRDefault="00D826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9446B8">
        <w:rPr>
          <w:lang w:val="ru-RU"/>
        </w:rPr>
        <w:br/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наглядно-дидактические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82680" w:rsidRPr="009446B8" w:rsidRDefault="009446B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D82680" w:rsidRDefault="009446B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2680" w:rsidRPr="009446B8" w:rsidRDefault="009446B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D82680" w:rsidRDefault="009446B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D82680" w:rsidRPr="009446B8" w:rsidRDefault="009446B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информационно-телекоммуникационное;</w:t>
      </w:r>
    </w:p>
    <w:p w:rsidR="00D82680" w:rsidRPr="009446B8" w:rsidRDefault="009446B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программное обеспечение – позволяет работать с текстовыми редакторами,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При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2020 году оценка материально-технического оснащения Детского сада при проведении дистанционных занятий с воспитанниками выявила следующие трудности:</w:t>
      </w:r>
    </w:p>
    <w:p w:rsidR="00D82680" w:rsidRPr="009446B8" w:rsidRDefault="009446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полноценной (качественной) организации и проведения занятий в дистанционном формате отсутствует стабильное и устойчивое интернет-соединение;</w:t>
      </w:r>
    </w:p>
    <w:p w:rsidR="00D82680" w:rsidRPr="009446B8" w:rsidRDefault="009446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недостаточно необходимого оборудования (ноутбуков, компьютеров или планшетов) в группах Детского сада;</w:t>
      </w:r>
    </w:p>
    <w:p w:rsidR="00D82680" w:rsidRPr="009446B8" w:rsidRDefault="009446B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нет достаточного технического обеспечения для организации массовых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общесадовских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с родителями воспитанников.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Необходимо в 2021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9446B8" w:rsidRPr="003B34CF" w:rsidRDefault="009446B8" w:rsidP="009446B8">
      <w:pPr>
        <w:pStyle w:val="2"/>
        <w:spacing w:after="0" w:line="276" w:lineRule="auto"/>
        <w:ind w:left="-142" w:right="-143" w:firstLine="709"/>
        <w:contextualSpacing/>
        <w:jc w:val="both"/>
      </w:pPr>
      <w:r w:rsidRPr="003B34CF">
        <w:t>Организация и расположение предметов развивающей среды в групповых комнатах, кабинетах и зале рациональны, логичны, доступны для детей, отвечают эстетическим требованиям, санитарно-гигиеническим нормам, требованиям техники безопасности, возрастным и индивидуальным особенностям детей. В детском саду созданы необходимые условия для целенаправленного действия ребенка во всех видах деятельности и реализации его индивидуальных возможностей и интересов.</w:t>
      </w:r>
    </w:p>
    <w:p w:rsidR="009446B8" w:rsidRPr="003B34CF" w:rsidRDefault="009446B8" w:rsidP="009446B8">
      <w:pPr>
        <w:pStyle w:val="2"/>
        <w:spacing w:after="0" w:line="276" w:lineRule="auto"/>
        <w:ind w:left="-142" w:right="-143" w:firstLine="709"/>
        <w:contextualSpacing/>
        <w:jc w:val="both"/>
      </w:pPr>
      <w:r w:rsidRPr="003B34CF">
        <w:t xml:space="preserve">В достаточном количестве  имеются игрушки, развивающие пособия, дидактические игры, книги. В группах оформлены центры природы, экспериментирования. </w:t>
      </w:r>
    </w:p>
    <w:p w:rsidR="009446B8" w:rsidRPr="003B34CF" w:rsidRDefault="009446B8" w:rsidP="009446B8">
      <w:pPr>
        <w:pStyle w:val="a6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3B34CF">
        <w:t xml:space="preserve">Своими силами, покрашено и отремонтировано игровое оборудование  на участках. Участки  дошкольного учреждения озеленены. Имеются цветы на клумбах. </w:t>
      </w:r>
    </w:p>
    <w:p w:rsidR="009446B8" w:rsidRPr="003B34CF" w:rsidRDefault="009446B8" w:rsidP="009446B8">
      <w:pPr>
        <w:pStyle w:val="a6"/>
        <w:spacing w:before="0" w:beforeAutospacing="0" w:after="0" w:afterAutospacing="0" w:line="276" w:lineRule="auto"/>
        <w:ind w:firstLine="540"/>
        <w:jc w:val="both"/>
      </w:pPr>
      <w:r w:rsidRPr="003B34CF">
        <w:t xml:space="preserve">На  физкультурных занятиях активно используются специальное оборудование, корригирующие дорожки для профилактики плоскостопия, для проведения занятий в зимнее время  -  лыжи. Для организации летнего оздоровительного периода для  детей приобретены атрибуты для  спортивных игр мячи, скакалки, разнообразные игрушки для сюжетно – ролевых игр. </w:t>
      </w:r>
    </w:p>
    <w:p w:rsidR="009446B8" w:rsidRPr="003B34CF" w:rsidRDefault="00C06853" w:rsidP="009446B8">
      <w:pPr>
        <w:pStyle w:val="a6"/>
        <w:spacing w:before="0" w:beforeAutospacing="0" w:after="0" w:afterAutospacing="0" w:line="276" w:lineRule="auto"/>
        <w:ind w:firstLine="540"/>
        <w:jc w:val="both"/>
      </w:pPr>
      <w:r>
        <w:t xml:space="preserve">Детский сад оснащен </w:t>
      </w:r>
      <w:r w:rsidR="009446B8" w:rsidRPr="003B34CF">
        <w:t xml:space="preserve"> методической литературой по реализуемым программам,  обновлен демонстрационный материал, дидактические пособия. К услугам педагогов  копировальный аппарат, сканер,  цветной струйный принтер и другая оргтехника. </w:t>
      </w:r>
    </w:p>
    <w:p w:rsidR="009446B8" w:rsidRPr="003B34CF" w:rsidRDefault="009446B8" w:rsidP="009446B8">
      <w:pPr>
        <w:pStyle w:val="a6"/>
        <w:spacing w:before="0" w:beforeAutospacing="0" w:after="0" w:afterAutospacing="0" w:line="276" w:lineRule="auto"/>
        <w:ind w:firstLine="540"/>
        <w:jc w:val="both"/>
      </w:pPr>
      <w:r w:rsidRPr="003B34CF">
        <w:t xml:space="preserve">Укрепление материально-технической базы учреждения осуществлялось: </w:t>
      </w:r>
    </w:p>
    <w:p w:rsidR="009446B8" w:rsidRPr="00C06853" w:rsidRDefault="009446B8" w:rsidP="009446B8">
      <w:pPr>
        <w:pStyle w:val="a5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3B34CF">
        <w:rPr>
          <w:sz w:val="24"/>
          <w:szCs w:val="24"/>
        </w:rPr>
        <w:t>за счет средств местного бюджета</w:t>
      </w:r>
      <w:r w:rsidRPr="00C06853">
        <w:rPr>
          <w:sz w:val="24"/>
          <w:szCs w:val="24"/>
        </w:rPr>
        <w:t xml:space="preserve">. </w:t>
      </w:r>
    </w:p>
    <w:p w:rsidR="009446B8" w:rsidRPr="009446B8" w:rsidRDefault="009446B8" w:rsidP="009446B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34CF">
        <w:rPr>
          <w:rFonts w:ascii="Times New Roman" w:hAnsi="Times New Roman"/>
          <w:sz w:val="24"/>
          <w:szCs w:val="24"/>
          <w:lang w:val="ru-RU"/>
        </w:rPr>
        <w:tab/>
        <w:t>Вся проделанная работа, в первую очередь, направленная на создание условий для реализации основной образовательной пр</w:t>
      </w:r>
      <w:r w:rsidR="00C06853">
        <w:rPr>
          <w:rFonts w:ascii="Times New Roman" w:hAnsi="Times New Roman"/>
          <w:sz w:val="24"/>
          <w:szCs w:val="24"/>
          <w:lang w:val="ru-RU"/>
        </w:rPr>
        <w:t>ограммы дошкольного образования.</w:t>
      </w:r>
    </w:p>
    <w:p w:rsidR="009446B8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30.12.2020.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6"/>
        <w:gridCol w:w="1541"/>
        <w:gridCol w:w="1433"/>
      </w:tblGrid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</w:p>
        </w:tc>
      </w:tr>
      <w:tr w:rsidR="00D82680" w:rsidTr="00C06853"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D82680" w:rsidRDefault="009446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C06853" w:rsidRDefault="00C068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полного дня (8–12 часов)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C06853" w:rsidRDefault="00C068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C06853" w:rsidRDefault="00C068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D10175" w:rsidRDefault="00D1017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D10175" w:rsidRDefault="00D1017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D10175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101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24/100%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446B8">
            <w:proofErr w:type="spellStart"/>
            <w:r w:rsidRPr="00934035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 w:rsidRPr="009340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9446B8">
              <w:rPr>
                <w:lang w:val="ru-RU"/>
              </w:rPr>
              <w:br/>
            </w:r>
            <w:proofErr w:type="spell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/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/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(удельный вес численности) педагогических работников, которым по результатам аттестации присвоена 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1 (33%)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1(33%)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3403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34035">
            <w:r>
              <w:rPr>
                <w:rFonts w:hAnsi="Times New Roman" w:cs="Times New Roman"/>
                <w:color w:val="000000"/>
                <w:sz w:val="24"/>
                <w:szCs w:val="24"/>
              </w:rPr>
              <w:t>2(66%)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8/1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34035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34035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34035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34035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82680" w:rsidTr="00C06853"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2,9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Наличие в детском саду: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 позволяет реализовывать образовательные программы в полном объеме в соответствии с ФГОС ДО.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D82680" w:rsidRPr="009446B8" w:rsidSect="00D8268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0C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C70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95D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C30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E1B9D"/>
    <w:multiLevelType w:val="hybridMultilevel"/>
    <w:tmpl w:val="C8AE4D4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3EE0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C1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A0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45E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77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8A2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46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A0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E14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C4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90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AE3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5"/>
  </w:num>
  <w:num w:numId="5">
    <w:abstractNumId w:val="13"/>
  </w:num>
  <w:num w:numId="6">
    <w:abstractNumId w:val="15"/>
  </w:num>
  <w:num w:numId="7">
    <w:abstractNumId w:val="3"/>
  </w:num>
  <w:num w:numId="8">
    <w:abstractNumId w:val="2"/>
  </w:num>
  <w:num w:numId="9">
    <w:abstractNumId w:val="8"/>
  </w:num>
  <w:num w:numId="10">
    <w:abstractNumId w:val="16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22E48"/>
    <w:rsid w:val="001C263D"/>
    <w:rsid w:val="002D33B1"/>
    <w:rsid w:val="002D3591"/>
    <w:rsid w:val="003514A0"/>
    <w:rsid w:val="003B34CF"/>
    <w:rsid w:val="003B64ED"/>
    <w:rsid w:val="003C25B1"/>
    <w:rsid w:val="00470250"/>
    <w:rsid w:val="004F7E17"/>
    <w:rsid w:val="00507F5B"/>
    <w:rsid w:val="005A05CE"/>
    <w:rsid w:val="00653AF6"/>
    <w:rsid w:val="006A0B51"/>
    <w:rsid w:val="00706700"/>
    <w:rsid w:val="00803722"/>
    <w:rsid w:val="008072B3"/>
    <w:rsid w:val="008378F1"/>
    <w:rsid w:val="00934035"/>
    <w:rsid w:val="009446B8"/>
    <w:rsid w:val="00A351C3"/>
    <w:rsid w:val="00AA0892"/>
    <w:rsid w:val="00B73A5A"/>
    <w:rsid w:val="00C06853"/>
    <w:rsid w:val="00C86371"/>
    <w:rsid w:val="00D10175"/>
    <w:rsid w:val="00D82680"/>
    <w:rsid w:val="00E438A1"/>
    <w:rsid w:val="00F01E19"/>
    <w:rsid w:val="00F070BA"/>
    <w:rsid w:val="00F8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57CB7-1945-4DD8-BBA5-464D6749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46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B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446B8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944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446B8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944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F070BA"/>
    <w:pPr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A351C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уровню образования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 педагогческое</c:v>
                </c:pt>
                <c:pt idx="1">
                  <c:v>средн. спец.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педагогов по стажу работы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педвгогов по стажу работы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5-10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днс</cp:lastModifiedBy>
  <cp:revision>9</cp:revision>
  <dcterms:created xsi:type="dcterms:W3CDTF">2011-11-02T04:15:00Z</dcterms:created>
  <dcterms:modified xsi:type="dcterms:W3CDTF">2021-04-19T07:14:00Z</dcterms:modified>
</cp:coreProperties>
</file>